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81" w:rsidRPr="00933581" w:rsidRDefault="00933581" w:rsidP="009335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REGULACE NAKLÁDÁNÍ SE ZEMĚDĚLSKOU PŮDOU ČR VE SROVNÁNÍ S OKOLNÍMI STÁTY</w:t>
      </w:r>
    </w:p>
    <w:p w:rsidR="00933581" w:rsidRPr="00EA0C86" w:rsidRDefault="00933581" w:rsidP="00EA0C86">
      <w:pPr>
        <w:pStyle w:val="Odstavecseseznamem"/>
        <w:numPr>
          <w:ilvl w:val="0"/>
          <w:numId w:val="1"/>
        </w:numPr>
        <w:spacing w:before="100" w:beforeAutospacing="1" w:after="100" w:afterAutospacing="1" w:line="255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A0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Stručný popis situace</w:t>
      </w:r>
      <w:r w:rsidRPr="00EA0C8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Nikde v okolních zemích není trh se zemědělskou půdou zcela neregulovaný tak, jako v ČR. Jen svobodný trh se nestačí vypořádat s otázkou diskriminace, přístupu a kontroly nad skutečným zemědělským využíváním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(produkce potravin) půdy. Při přijetí regulačního zákona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(Kubačák,2015)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je nutné prokázat veřejný zájem-samozřejmě ne zájem EU či okolních států, ale ČR!!!</w:t>
      </w:r>
    </w:p>
    <w:p w:rsidR="00933581" w:rsidRPr="00EA0C86" w:rsidRDefault="00933581" w:rsidP="00EA0C86">
      <w:pPr>
        <w:pStyle w:val="Odstavecseseznamem"/>
        <w:numPr>
          <w:ilvl w:val="0"/>
          <w:numId w:val="1"/>
        </w:numPr>
        <w:spacing w:before="100" w:beforeAutospacing="1" w:after="100" w:afterAutospacing="1" w:line="255" w:lineRule="atLea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Postavení ČR: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Podíl pronajaté půdy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30639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80</w:t>
      </w:r>
      <w:r w:rsidR="00B30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(Slovensko 90 %,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ČR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78 %,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Francie 75 %,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Německo 60 %, Litva 50 %, Chorvatsko 45 %, Švédsko 40 %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Anglie 35 %,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Polsko 30 %,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Irsko 25 %)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Graf č.1</w:t>
      </w:r>
    </w:p>
    <w:p w:rsid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00650" cy="3124200"/>
            <wp:effectExtent l="0" t="0" r="0" b="0"/>
            <wp:docPr id="5" name="Obrázek 5" descr="http://files.zsch.webnode.cz/200000540-7c43d7e37a/Regulace%20nakla%CC%81da%CC%81ni%CC%81%20se%20zeme%CC%8Cde%CC%8Clskou%20pu%CC%8Adou%20C%CC%8CR%20ve%20srovna%CC%81ni%CC%81%20s%C2%A0okolni%CC%81mi%20sta%CC%81ty-pro%20www%20stra%CC%81nky%20ZSCH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zsch.webnode.cz/200000540-7c43d7e37a/Regulace%20nakla%CC%81da%CC%81ni%CC%81%20se%20zeme%CC%8Cde%CC%8Clskou%20pu%CC%8Adou%20C%CC%8CR%20ve%20srovna%CC%81ni%CC%81%20s%C2%A0okolni%CC%81mi%20sta%CC%81ty-pro%20www%20stra%CC%81nky%20ZSCH.doc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E8" w:rsidRPr="001603E8" w:rsidRDefault="001603E8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 w:rsidRPr="001603E8">
        <w:rPr>
          <w:rFonts w:ascii="Times New Roman" w:eastAsia="Times New Roman" w:hAnsi="Times New Roman" w:cs="Times New Roman"/>
          <w:szCs w:val="24"/>
          <w:lang w:eastAsia="cs-CZ"/>
        </w:rPr>
        <w:t xml:space="preserve">Zdroj: </w:t>
      </w:r>
      <w:proofErr w:type="spellStart"/>
      <w:r w:rsidRPr="001603E8">
        <w:rPr>
          <w:rFonts w:ascii="Times New Roman" w:eastAsia="Times New Roman" w:hAnsi="Times New Roman" w:cs="Times New Roman"/>
          <w:szCs w:val="24"/>
          <w:lang w:eastAsia="cs-CZ"/>
        </w:rPr>
        <w:t>Eurostat</w:t>
      </w:r>
      <w:proofErr w:type="spellEnd"/>
    </w:p>
    <w:p w:rsidR="00933581" w:rsidRPr="00EA0C86" w:rsidRDefault="00933581" w:rsidP="00EA0C86">
      <w:pPr>
        <w:pStyle w:val="Odstavecseseznamem"/>
        <w:numPr>
          <w:ilvl w:val="0"/>
          <w:numId w:val="1"/>
        </w:numPr>
        <w:spacing w:before="100" w:beforeAutospacing="1" w:after="100" w:afterAutospacing="1" w:line="255" w:lineRule="atLea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Právní uspořádání regulace trhu a nakládání se zemědělskou půdou v okolních zemích: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 správních orgánů pro otázky zemědělské půdy v okolních státech: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Nizozemí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zemědělství, Maďarsko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 rozšíření podniků střední velikosti,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Rakousko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vlastnictví půdy zemědělci, Horní Rakousko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před spekulativními nákupy půdy, Dánsko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zemědělec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= vlastník půdy, Německo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zlepšení agrární struktury, Francie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-podpora mladých,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místní ekonomiky, Polsko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cíl farmy do max. 300 ha, Slovensko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-ochrana před spekulacemi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b) regulace 1: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omezení právnické osoby, souhlas s nájmem, regulace ceny, výhody pro příbuzné, výhody pro stát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Zajímavá je situace např. V Německu,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kde je nutný souhlas státu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(Grottke,2015)</w:t>
      </w:r>
      <w:r w:rsidR="001603E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s prodejem, je zde stanovena hranice ceny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(maximální),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 prodejem je nutný u všech zkoumaných států mimo Dánsko, Polsko, Belgie a samozřejmě ČR.  Souhlas s prodejem je tak ve všech státech mimo těch, kde vysoký podíl vlastní půdy, jako je např. Polsko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(tabulka č.1)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Tabulka č. 1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943600" cy="3752850"/>
            <wp:effectExtent l="0" t="0" r="0" b="0"/>
            <wp:docPr id="3" name="Obrázek 3" descr="http://files.zsch.webnode.cz/200000542-566f95769b/Regulace%20nakla%CC%81da%CC%81ni%CC%81%20se%20zeme%CC%8Cde%CC%8Clskou%20pu%CC%8Adou%20C%CC%8CR%20ve%20srovna%CC%81ni%CC%81%202s%C2%A0okolni%CC%81mi%20sta%CC%81ty-pro%20www%20stra%CC%81nky%20ZSCH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zsch.webnode.cz/200000542-566f95769b/Regulace%20nakla%CC%81da%CC%81ni%CC%81%20se%20zeme%CC%8Cde%CC%8Clskou%20pu%CC%8Adou%20C%CC%8CR%20ve%20srovna%CC%81ni%CC%81%202s%C2%A0okolni%CC%81mi%20sta%CC%81ty-pro%20www%20stra%CC%81nky%20ZSCH.doc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Regulace 2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Požadavek nedělení parcely. Přednostní nabývání - ve veřejném zájmu, spoluvlastníkem, veřejnou správou. Předkupní právo-zemědělec, soused, mladý obyvatel a zemědělec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Zásadní je opět ten poznatek, že trh regulován předkupním právem  je ve státech,  kde  je vysoký podíl pronajaté půdy(destabilizační faktor zemědělské výroby=vysoký podíl pronajaté půdy).Ve státech s vysokým podílem vlastnictví (Dánsko, Polsko) není předkupní právo. Jinak ve všech státech  bez rozdílu je řešena otázka přednostního nabývání minimálně na úrovni spoluvlastníka(viz neregulovaná  situace v ČR dle NOZ) nebo nabývání veřejnou správou(například pro stavbu dálnic atd.-situace v ČR taktéž absolutně neregulovaná).Zajímavá je opět situace okolních ekonomik EU  s velmi vysokým HDP(Německo, Rakousko ,Francie, Nizozemí, Belgie) kde je zákonné předkupní právo-to znamená přelévání  kapitálu do zemí bez regulace (ČR) a destabilizace trhu se zemědělskou půdou, zde je dokonce i Rumunsko na tom lépe než ČR, neboť má předkupní právo nájemce </w:t>
      </w:r>
      <w:r w:rsidRPr="0093358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(tabulka č.2)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Tabulka č.2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57875" cy="3857625"/>
            <wp:effectExtent l="0" t="0" r="9525" b="9525"/>
            <wp:docPr id="2" name="Obrázek 2" descr="http://files.zsch.webnode.cz/200000543-b9b98bab38/Regulace%20nakla%CC%81da%CC%81ni%CC%81%20se%20zeme%CC%8Cde%CC%8Clskou3%20pu%CC%8Adou%20C%CC%8CR%20ve%20srovna%CC%81ni%CC%81%20s%C2%A0okolni%CC%81mi%20sta%CC%81ty-pro%20www%20stra%CC%81nky%20ZSCH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zsch.webnode.cz/200000543-b9b98bab38/Regulace%20nakla%CC%81da%CC%81ni%CC%81%20se%20zeme%CC%8Cde%CC%8Clskou3%20pu%CC%8Adou%20C%CC%8CR%20ve%20srovna%CC%81ni%CC%81%20s%C2%A0okolni%CC%81mi%20sta%CC%81ty-pro%20www%20stra%CC%81nky%20ZSCH.doc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d)</w:t>
      </w:r>
      <w:r w:rsidR="00EA0C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Regulace 3:</w:t>
      </w:r>
      <w:r w:rsidR="00EA0C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souhlas s nájmem(pachtem),</w:t>
      </w:r>
      <w:r w:rsidR="00EA0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požadavek na zemědělské odborné vzdělání,</w:t>
      </w:r>
      <w:r w:rsidR="00160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osvobození do limitované výměry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Opět nejzajímavější je omezení nakládáním se zemědělskou půdou týkající se nájmů</w:t>
      </w:r>
      <w:r w:rsidR="00EA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(pachtu v terminologie ČR),</w:t>
      </w:r>
      <w:r w:rsidR="00EA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kde většina zemí tuto regulaci má, zejména pak opět země, kde je velký podíl pronajaté půdy.</w:t>
      </w:r>
      <w:r w:rsidR="00B30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Za zmínku opět stojí Německo, Rakousko, Francie, což jsou země s násobně větším HPD,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než ČR. To opět znamená potenciální možnost migrace kapitálu a destabilizace  trhu se zemědělskou půdou v ČR. Regulace nájmu není naopak v zemích s vysokým podílem vlastní půdy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(Polsko).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Země zcela neregulované jsou Rumunsko a bohužel i ČR, což je poněkud smutné srovnání. Většinový je požadavek vzdělání uživatelů zemědělské půdy s v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mkou Belgie a samozřejmě zcela neregulovaných států s volným trhem zemědělské půdy,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Rumunsk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ČR, což je opět smutné společenství (HDP ČR násobně větší než 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Rumunska).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logická je opět minimální výměra,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pod kterou se regulace neuplatňuje. Jedná se např. o pozemky stavební atd</w:t>
      </w:r>
      <w:r w:rsidRPr="0093358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 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(Nizozemí pod 0,5 ha) Zajímavá je podmínka Maďarska na maximální výměru farmy</w:t>
      </w:r>
      <w:r w:rsidR="00B30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FO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- 300 ha, družstvo -1200 ha, max. však 1800 ha, dále pak maximální výměra farmy v Polsku na 300 ha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(tabulka č.3)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Tabulka č. 3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876925" cy="3867150"/>
            <wp:effectExtent l="0" t="0" r="9525" b="0"/>
            <wp:docPr id="1" name="Obrázek 1" descr="http://files.zsch.webnode.cz/200000544-8b8498d781/Regulace%20nakla%CC%81da%CC%81ni%CC%81%20se%20zeme%CC%8Cd4e%CC%8Clskou%20pu%CC%8Adou%20C%CC%8CR%20ve%20srovna%CC%81ni%CC%81%20s%C2%A0okolni%CC%81mi%20sta%CC%81ty-pro%20www%20stra%CC%81nky%20ZSCH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zsch.webnode.cz/200000544-8b8498d781/Regulace%20nakla%CC%81da%CC%81ni%CC%81%20se%20zeme%CC%8Cd4e%CC%8Clskou%20pu%CC%8Adou%20C%CC%8CR%20ve%20srovna%CC%81ni%CC%81%20s%C2%A0okolni%CC%81mi%20sta%CC%81ty-pro%20www%20stra%CC%81nky%20ZSCH.doc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81" w:rsidRPr="00EA0C86" w:rsidRDefault="00933581" w:rsidP="00EA0C86">
      <w:pPr>
        <w:pStyle w:val="Odstavecseseznamem"/>
        <w:numPr>
          <w:ilvl w:val="0"/>
          <w:numId w:val="1"/>
        </w:numPr>
        <w:spacing w:before="100" w:beforeAutospacing="1" w:after="100" w:afterAutospacing="1" w:line="255" w:lineRule="atLea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A0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Stav regulace trhu a užívání zemědělské půdy v ČR, ochrana zemědělského půdního fondu: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orgány ČR, které jsou pověřeny zákonnou ochranou zemědělské půdy mají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roztříštěné pravomoci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proofErr w:type="spellStart"/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MZe</w:t>
      </w:r>
      <w:proofErr w:type="spellEnd"/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ČR x MŽ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ČR)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a ačkoliv je ochrana půdy formálně deklarována a zemědělcům jsou stále navyšovány povinnosti při její správě a užívání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(rozšíření protierozní ochrany zemědělské půdy, nová ochranná pásma, ekologické funkce atd.),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fakticky zemědělská půda je chráněna stále 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nedostatečně – viz.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snížení poplatků za vyjmutí zemědělské půdy ze zemědělského půdního fondu.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Vlastníci zemědělské půdy v ČR nemají žádnou zákonnou povinnost ji využívat v souladu s jejím hlavním určením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což tedy znamená k aktivní, odborné, trvale udržitelné zemědělské výrobě buď sami nebo prostřednictvím aktivního zemědělce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nájemce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(pachtýře)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jako v jiných zemích a nejsou k tomu zákonnou úpravou motivováni, v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ČR tato neexistuje. 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Vlastník zemědělské půdy v ČR nemá žádnou zákonnou povinnost dbát s péčí řádného hospodáře o stav zemědělské půdy,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aby tato nebyla poškozována, degradována, znehodnocována a měněna účelově na jiné kultury a druhy užívání, které lze snadno zpeněžit a vyvést mimo zemědělskou výrobu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. Tyto povinnosti se snaží státní orgány velmi urputně delegovat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(sankce, zákazy, dotační programy) na uživatele-nájemce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pachtýře, ale uživatel nemůže mít nikdy více práv a povinností,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vlastník.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Předkupní právo k zemědělské půdě v žádné podobě v ČR neexistuje, regulace nájmů taktéž, žádné jiné další regulační prvky výše uvedené v ČR neexistují, tato situace staví ČR na roveň nejméně rozvinutých zemí EU, Afriky se všemi negativními důsledky</w:t>
      </w:r>
    </w:p>
    <w:p w:rsidR="00933581" w:rsidRPr="00EA0C86" w:rsidRDefault="00933581" w:rsidP="00EA0C86">
      <w:pPr>
        <w:pStyle w:val="Odstavecseseznamem"/>
        <w:numPr>
          <w:ilvl w:val="0"/>
          <w:numId w:val="1"/>
        </w:numPr>
        <w:spacing w:before="100" w:beforeAutospacing="1" w:after="100" w:afterAutospacing="1" w:line="255" w:lineRule="atLea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Závěr: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a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všech bezprostředně okolních státech,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které mají násobně větší nebo alespoň stejný HDP než je ČR a stejný nebo podobný podíl pronajaté půdy 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trh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(předkupní právo, souhlas s prodejem) 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 nakládání se zemědělskou půdou</w:t>
      </w:r>
      <w:r w:rsidR="001603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(souhlas</w:t>
      </w:r>
      <w:r w:rsidR="00EA0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s nájmem) 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regulováno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(Německo, Francie,</w:t>
      </w:r>
      <w:r w:rsidR="00B30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Rakousko, ale i Slovensko).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velmi vyspělé tržní ekonomiky a není patrné, že by tato regulace byla něčím, co je s podmínkami svobody nakládání s majetkem, svobodné tržní a vyspělé ekonomiky neslučitelné a nefunkční, spíš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naopak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Státy se strukturou podstatně menšího podílu pronajaté půdy a vysokého podílu půdy vlastní (Polsko, Dánsko, Belgie) již nepotřebují takový stupeň regulace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regulační prvky zde chybí, ale další na naopak plně využívají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(Polsko, Belgie-předkupní právo nájemce)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3581" w:rsidRPr="00933581" w:rsidRDefault="00933581" w:rsidP="00933581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ČR je naprosto tristní, žádné regulace nejsou a dokonce i státy s podstatně menším HDP je mají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 (Rumunsko, Slovensko-předkupní právo).Výsledkem je a ještě více bude destabilizace trhu se zemědělskou půdou v ČR a přesun vlastnictví zemědělské i nezemědělské subjekty zahraničního původu, což způsobuje spekulativní kapitál a dále i zahraniční toky kapitálu, kde v domovských zemích podléhá nákup půdy přísné regulaci a v ČR je nákup půdy zahraničními subjekty,</w:t>
      </w:r>
      <w:r w:rsidR="00160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581">
        <w:rPr>
          <w:rFonts w:ascii="Times New Roman" w:eastAsia="Times New Roman" w:hAnsi="Times New Roman" w:cs="Times New Roman"/>
          <w:sz w:val="24"/>
          <w:szCs w:val="24"/>
          <w:lang w:eastAsia="cs-CZ"/>
        </w:rPr>
        <w:t>ale i nezemědělskými subjekty naprosto neomezen.</w:t>
      </w:r>
    </w:p>
    <w:p w:rsidR="00EA0C86" w:rsidRDefault="00933581" w:rsidP="001603E8">
      <w:pPr>
        <w:pStyle w:val="Nadpis3"/>
        <w:rPr>
          <w:rFonts w:ascii="Times New Roman" w:eastAsia="Times New Roman" w:hAnsi="Times New Roman" w:cs="Times New Roman"/>
          <w:color w:val="000000"/>
          <w:lang w:eastAsia="cs-CZ"/>
        </w:rPr>
      </w:pPr>
      <w:r w:rsidRPr="00933581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:rsidR="00EA0C86" w:rsidRDefault="00EA0C86" w:rsidP="001603E8">
      <w:pPr>
        <w:pStyle w:val="Nadpis3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603E8" w:rsidRPr="00B30639" w:rsidRDefault="001603E8" w:rsidP="001603E8">
      <w:pPr>
        <w:pStyle w:val="Nadpis3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B3063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Zdroj: </w:t>
      </w:r>
      <w:r w:rsidR="00EA0C86" w:rsidRPr="00B30639">
        <w:rPr>
          <w:rFonts w:ascii="Times New Roman" w:eastAsia="Times New Roman" w:hAnsi="Times New Roman" w:cs="Times New Roman"/>
          <w:i/>
          <w:color w:val="000000"/>
          <w:lang w:eastAsia="cs-CZ"/>
        </w:rPr>
        <w:t>Studie Ústavu zemědělské ekonomiky a informací „</w:t>
      </w:r>
      <w:r w:rsidRPr="00B30639">
        <w:rPr>
          <w:rFonts w:ascii="Times New Roman" w:eastAsia="Times New Roman" w:hAnsi="Times New Roman" w:cs="Times New Roman"/>
          <w:i/>
          <w:color w:val="000000"/>
          <w:lang w:eastAsia="cs-CZ"/>
        </w:rPr>
        <w:t>Podmínky převodů zemědělské půdy a jejich role v podpoře trhu s půdou v ČR a vybraných sousedních zemí</w:t>
      </w:r>
      <w:r w:rsidR="00EA0C86" w:rsidRPr="00B30639">
        <w:rPr>
          <w:rFonts w:ascii="Times New Roman" w:eastAsia="Times New Roman" w:hAnsi="Times New Roman" w:cs="Times New Roman"/>
          <w:i/>
          <w:color w:val="000000"/>
          <w:lang w:eastAsia="cs-CZ"/>
        </w:rPr>
        <w:t>ch“, rok 2014</w:t>
      </w:r>
    </w:p>
    <w:p w:rsidR="00933581" w:rsidRPr="00933581" w:rsidRDefault="00933581" w:rsidP="009335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6553" w:rsidRPr="00933581" w:rsidRDefault="00476553" w:rsidP="00933581">
      <w:pPr>
        <w:jc w:val="both"/>
        <w:rPr>
          <w:sz w:val="24"/>
          <w:szCs w:val="24"/>
        </w:rPr>
      </w:pPr>
    </w:p>
    <w:sectPr w:rsidR="00476553" w:rsidRPr="0093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109A"/>
    <w:multiLevelType w:val="hybridMultilevel"/>
    <w:tmpl w:val="0A2A5E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81"/>
    <w:rsid w:val="00010860"/>
    <w:rsid w:val="000137E0"/>
    <w:rsid w:val="00015A3B"/>
    <w:rsid w:val="00020B1F"/>
    <w:rsid w:val="0002196C"/>
    <w:rsid w:val="00027640"/>
    <w:rsid w:val="00056AC4"/>
    <w:rsid w:val="000763A2"/>
    <w:rsid w:val="000A7C07"/>
    <w:rsid w:val="000B1697"/>
    <w:rsid w:val="000D2D80"/>
    <w:rsid w:val="000D6EBA"/>
    <w:rsid w:val="000F3284"/>
    <w:rsid w:val="000F7C6F"/>
    <w:rsid w:val="00101C68"/>
    <w:rsid w:val="001603E8"/>
    <w:rsid w:val="0016474B"/>
    <w:rsid w:val="00172A99"/>
    <w:rsid w:val="00174292"/>
    <w:rsid w:val="001B1C60"/>
    <w:rsid w:val="001B2E98"/>
    <w:rsid w:val="001C7041"/>
    <w:rsid w:val="001E2C69"/>
    <w:rsid w:val="002015EA"/>
    <w:rsid w:val="00223FD9"/>
    <w:rsid w:val="00225272"/>
    <w:rsid w:val="002327C4"/>
    <w:rsid w:val="00280DAF"/>
    <w:rsid w:val="0029381D"/>
    <w:rsid w:val="002A4F9D"/>
    <w:rsid w:val="002B0383"/>
    <w:rsid w:val="002C16C5"/>
    <w:rsid w:val="002C7BC5"/>
    <w:rsid w:val="002E18CD"/>
    <w:rsid w:val="002E6C87"/>
    <w:rsid w:val="002E7ABD"/>
    <w:rsid w:val="0030226B"/>
    <w:rsid w:val="003060F8"/>
    <w:rsid w:val="00315B0F"/>
    <w:rsid w:val="003171E3"/>
    <w:rsid w:val="00320588"/>
    <w:rsid w:val="00340584"/>
    <w:rsid w:val="00353635"/>
    <w:rsid w:val="003555DF"/>
    <w:rsid w:val="00362C43"/>
    <w:rsid w:val="00371C68"/>
    <w:rsid w:val="003749AB"/>
    <w:rsid w:val="003771EE"/>
    <w:rsid w:val="00387A74"/>
    <w:rsid w:val="00393957"/>
    <w:rsid w:val="00396BB1"/>
    <w:rsid w:val="003B348B"/>
    <w:rsid w:val="003C76CF"/>
    <w:rsid w:val="003C78C1"/>
    <w:rsid w:val="003D0C0C"/>
    <w:rsid w:val="003D56BF"/>
    <w:rsid w:val="003F1956"/>
    <w:rsid w:val="003F58D8"/>
    <w:rsid w:val="003F6FD9"/>
    <w:rsid w:val="00423FE0"/>
    <w:rsid w:val="004302D3"/>
    <w:rsid w:val="004334D1"/>
    <w:rsid w:val="00434BE9"/>
    <w:rsid w:val="0043702B"/>
    <w:rsid w:val="0044066C"/>
    <w:rsid w:val="00441784"/>
    <w:rsid w:val="00443089"/>
    <w:rsid w:val="00445DA6"/>
    <w:rsid w:val="004505AE"/>
    <w:rsid w:val="00464D42"/>
    <w:rsid w:val="004745A0"/>
    <w:rsid w:val="00476553"/>
    <w:rsid w:val="00481184"/>
    <w:rsid w:val="004853B9"/>
    <w:rsid w:val="004867BD"/>
    <w:rsid w:val="004944A6"/>
    <w:rsid w:val="0049530C"/>
    <w:rsid w:val="004A106D"/>
    <w:rsid w:val="004A4ABD"/>
    <w:rsid w:val="004D1312"/>
    <w:rsid w:val="004F0934"/>
    <w:rsid w:val="004F0CF9"/>
    <w:rsid w:val="00505B6C"/>
    <w:rsid w:val="00516AAC"/>
    <w:rsid w:val="0053281C"/>
    <w:rsid w:val="0053610F"/>
    <w:rsid w:val="0054142A"/>
    <w:rsid w:val="005438E5"/>
    <w:rsid w:val="00547639"/>
    <w:rsid w:val="00550D87"/>
    <w:rsid w:val="00551090"/>
    <w:rsid w:val="00570E72"/>
    <w:rsid w:val="00573BAC"/>
    <w:rsid w:val="00581A6C"/>
    <w:rsid w:val="00586D15"/>
    <w:rsid w:val="005913C6"/>
    <w:rsid w:val="00591600"/>
    <w:rsid w:val="00593BFB"/>
    <w:rsid w:val="005A1AE3"/>
    <w:rsid w:val="005B2056"/>
    <w:rsid w:val="005B28AA"/>
    <w:rsid w:val="005C0E0C"/>
    <w:rsid w:val="005C45A7"/>
    <w:rsid w:val="005D1541"/>
    <w:rsid w:val="005D56CA"/>
    <w:rsid w:val="005F4E87"/>
    <w:rsid w:val="005F5A47"/>
    <w:rsid w:val="006126FB"/>
    <w:rsid w:val="00615266"/>
    <w:rsid w:val="0062315C"/>
    <w:rsid w:val="00623FD3"/>
    <w:rsid w:val="006241BF"/>
    <w:rsid w:val="00633806"/>
    <w:rsid w:val="00636A0A"/>
    <w:rsid w:val="00650843"/>
    <w:rsid w:val="006531BD"/>
    <w:rsid w:val="00667BC5"/>
    <w:rsid w:val="00681ECB"/>
    <w:rsid w:val="00687440"/>
    <w:rsid w:val="006A0C63"/>
    <w:rsid w:val="006C0ED5"/>
    <w:rsid w:val="006D06D8"/>
    <w:rsid w:val="006E50F1"/>
    <w:rsid w:val="006E6C09"/>
    <w:rsid w:val="006F0031"/>
    <w:rsid w:val="006F30AB"/>
    <w:rsid w:val="006F5A2A"/>
    <w:rsid w:val="00703073"/>
    <w:rsid w:val="007034A0"/>
    <w:rsid w:val="00711755"/>
    <w:rsid w:val="0072399F"/>
    <w:rsid w:val="007244DE"/>
    <w:rsid w:val="00727ACD"/>
    <w:rsid w:val="00743158"/>
    <w:rsid w:val="00753F03"/>
    <w:rsid w:val="007579B7"/>
    <w:rsid w:val="00766DEF"/>
    <w:rsid w:val="00766FD1"/>
    <w:rsid w:val="007729BB"/>
    <w:rsid w:val="00781931"/>
    <w:rsid w:val="007961C4"/>
    <w:rsid w:val="007C5452"/>
    <w:rsid w:val="007D1E08"/>
    <w:rsid w:val="007E222D"/>
    <w:rsid w:val="007F3320"/>
    <w:rsid w:val="00801866"/>
    <w:rsid w:val="0081223C"/>
    <w:rsid w:val="00815366"/>
    <w:rsid w:val="0081732C"/>
    <w:rsid w:val="00817D65"/>
    <w:rsid w:val="00823D57"/>
    <w:rsid w:val="008256FF"/>
    <w:rsid w:val="00834349"/>
    <w:rsid w:val="00840E70"/>
    <w:rsid w:val="00843AF3"/>
    <w:rsid w:val="00856115"/>
    <w:rsid w:val="008568EC"/>
    <w:rsid w:val="00857E4F"/>
    <w:rsid w:val="0086012F"/>
    <w:rsid w:val="00863433"/>
    <w:rsid w:val="0087615E"/>
    <w:rsid w:val="00885BF0"/>
    <w:rsid w:val="008A1F56"/>
    <w:rsid w:val="008A31C1"/>
    <w:rsid w:val="008A469E"/>
    <w:rsid w:val="008A688D"/>
    <w:rsid w:val="008B7B01"/>
    <w:rsid w:val="008B7BC0"/>
    <w:rsid w:val="008C7B48"/>
    <w:rsid w:val="008D40FB"/>
    <w:rsid w:val="008E344C"/>
    <w:rsid w:val="008E4053"/>
    <w:rsid w:val="008E5F6E"/>
    <w:rsid w:val="008F14FF"/>
    <w:rsid w:val="008F41E3"/>
    <w:rsid w:val="0090637C"/>
    <w:rsid w:val="00916734"/>
    <w:rsid w:val="00924E79"/>
    <w:rsid w:val="00933581"/>
    <w:rsid w:val="00934B2E"/>
    <w:rsid w:val="009357CB"/>
    <w:rsid w:val="00936538"/>
    <w:rsid w:val="00940AED"/>
    <w:rsid w:val="00942E10"/>
    <w:rsid w:val="00945463"/>
    <w:rsid w:val="0095231A"/>
    <w:rsid w:val="0095719B"/>
    <w:rsid w:val="0096494F"/>
    <w:rsid w:val="00973ACF"/>
    <w:rsid w:val="009824A8"/>
    <w:rsid w:val="00994C21"/>
    <w:rsid w:val="00994CD3"/>
    <w:rsid w:val="0099780D"/>
    <w:rsid w:val="009A0B51"/>
    <w:rsid w:val="009B39E9"/>
    <w:rsid w:val="009B6133"/>
    <w:rsid w:val="009C4E6B"/>
    <w:rsid w:val="009C572C"/>
    <w:rsid w:val="009C7295"/>
    <w:rsid w:val="009E334A"/>
    <w:rsid w:val="009F1F47"/>
    <w:rsid w:val="00A01884"/>
    <w:rsid w:val="00A01F18"/>
    <w:rsid w:val="00A02CDB"/>
    <w:rsid w:val="00A150BE"/>
    <w:rsid w:val="00A2126A"/>
    <w:rsid w:val="00A32F7C"/>
    <w:rsid w:val="00A362F0"/>
    <w:rsid w:val="00A431D7"/>
    <w:rsid w:val="00A54DF9"/>
    <w:rsid w:val="00A961DF"/>
    <w:rsid w:val="00AA2EC4"/>
    <w:rsid w:val="00AB3D01"/>
    <w:rsid w:val="00AE4C94"/>
    <w:rsid w:val="00AE4E61"/>
    <w:rsid w:val="00AF0220"/>
    <w:rsid w:val="00AF373B"/>
    <w:rsid w:val="00AF4D89"/>
    <w:rsid w:val="00B0732E"/>
    <w:rsid w:val="00B13CAD"/>
    <w:rsid w:val="00B30639"/>
    <w:rsid w:val="00B35714"/>
    <w:rsid w:val="00B646F0"/>
    <w:rsid w:val="00B64E58"/>
    <w:rsid w:val="00B75AC1"/>
    <w:rsid w:val="00B7603C"/>
    <w:rsid w:val="00B87152"/>
    <w:rsid w:val="00B9232B"/>
    <w:rsid w:val="00B94382"/>
    <w:rsid w:val="00B9725C"/>
    <w:rsid w:val="00BB1ABA"/>
    <w:rsid w:val="00BE34ED"/>
    <w:rsid w:val="00BF0E95"/>
    <w:rsid w:val="00C20042"/>
    <w:rsid w:val="00C231E2"/>
    <w:rsid w:val="00C2442E"/>
    <w:rsid w:val="00C249AC"/>
    <w:rsid w:val="00C36E07"/>
    <w:rsid w:val="00C407FC"/>
    <w:rsid w:val="00C420E1"/>
    <w:rsid w:val="00C60BC3"/>
    <w:rsid w:val="00C6137D"/>
    <w:rsid w:val="00C70CC4"/>
    <w:rsid w:val="00C86526"/>
    <w:rsid w:val="00C90B94"/>
    <w:rsid w:val="00C9260E"/>
    <w:rsid w:val="00CE5510"/>
    <w:rsid w:val="00CE7CF4"/>
    <w:rsid w:val="00CF3689"/>
    <w:rsid w:val="00CF77D0"/>
    <w:rsid w:val="00D142C1"/>
    <w:rsid w:val="00D27F20"/>
    <w:rsid w:val="00D35039"/>
    <w:rsid w:val="00D429DD"/>
    <w:rsid w:val="00D46E5F"/>
    <w:rsid w:val="00D55BCA"/>
    <w:rsid w:val="00D639B6"/>
    <w:rsid w:val="00D66617"/>
    <w:rsid w:val="00D749A4"/>
    <w:rsid w:val="00D86291"/>
    <w:rsid w:val="00DA1081"/>
    <w:rsid w:val="00DA63E3"/>
    <w:rsid w:val="00DB15B3"/>
    <w:rsid w:val="00DD2B58"/>
    <w:rsid w:val="00DE73FF"/>
    <w:rsid w:val="00DF35B1"/>
    <w:rsid w:val="00E156D6"/>
    <w:rsid w:val="00E176F2"/>
    <w:rsid w:val="00E45F3B"/>
    <w:rsid w:val="00E47220"/>
    <w:rsid w:val="00E50BB6"/>
    <w:rsid w:val="00E6473A"/>
    <w:rsid w:val="00E87DC3"/>
    <w:rsid w:val="00EA0608"/>
    <w:rsid w:val="00EA0C86"/>
    <w:rsid w:val="00EB3E56"/>
    <w:rsid w:val="00ED621C"/>
    <w:rsid w:val="00ED79C0"/>
    <w:rsid w:val="00EE1BA1"/>
    <w:rsid w:val="00EF2561"/>
    <w:rsid w:val="00F00A1D"/>
    <w:rsid w:val="00F01CCA"/>
    <w:rsid w:val="00F0635B"/>
    <w:rsid w:val="00F06F36"/>
    <w:rsid w:val="00F15CC5"/>
    <w:rsid w:val="00F3110B"/>
    <w:rsid w:val="00F43BA7"/>
    <w:rsid w:val="00F5627D"/>
    <w:rsid w:val="00F60208"/>
    <w:rsid w:val="00F65A18"/>
    <w:rsid w:val="00F7264E"/>
    <w:rsid w:val="00F735D9"/>
    <w:rsid w:val="00F802AA"/>
    <w:rsid w:val="00F83CF0"/>
    <w:rsid w:val="00FA04CC"/>
    <w:rsid w:val="00FA78AB"/>
    <w:rsid w:val="00FB21C9"/>
    <w:rsid w:val="00FB41E9"/>
    <w:rsid w:val="00FE693C"/>
    <w:rsid w:val="00FF3DD1"/>
    <w:rsid w:val="00FF4172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71ED"/>
  <w15:chartTrackingRefBased/>
  <w15:docId w15:val="{CAC29242-DFD4-4BE1-8012-D4846130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3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0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35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581"/>
    <w:rPr>
      <w:b/>
      <w:bCs/>
    </w:rPr>
  </w:style>
  <w:style w:type="character" w:styleId="Zdraznn">
    <w:name w:val="Emphasis"/>
    <w:basedOn w:val="Standardnpsmoodstavce"/>
    <w:uiPriority w:val="20"/>
    <w:qFormat/>
    <w:rsid w:val="0093358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3358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03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Pycha</dc:creator>
  <cp:keywords/>
  <dc:description/>
  <cp:lastModifiedBy>Martin Pycha</cp:lastModifiedBy>
  <cp:revision>3</cp:revision>
  <dcterms:created xsi:type="dcterms:W3CDTF">2017-03-20T11:40:00Z</dcterms:created>
  <dcterms:modified xsi:type="dcterms:W3CDTF">2017-04-03T15:56:00Z</dcterms:modified>
</cp:coreProperties>
</file>