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A596" w14:textId="38CA025B" w:rsidR="00A33255" w:rsidRPr="00B41E52" w:rsidRDefault="00A33255" w:rsidP="00C47CAB">
      <w:pPr>
        <w:rPr>
          <w:lang w:val="cs-CZ"/>
        </w:rPr>
      </w:pPr>
    </w:p>
    <w:p w14:paraId="3FD593F7" w14:textId="77777777" w:rsidR="00FE33AD" w:rsidRPr="00B41E52" w:rsidRDefault="00FE33AD" w:rsidP="00FE33AD">
      <w:pPr>
        <w:jc w:val="center"/>
        <w:rPr>
          <w:rStyle w:val="None"/>
          <w:rFonts w:ascii="Calibri" w:hAnsi="Calibri"/>
          <w:i/>
          <w:iCs/>
          <w:sz w:val="24"/>
          <w:szCs w:val="24"/>
          <w:lang w:val="cs-CZ"/>
        </w:rPr>
      </w:pPr>
    </w:p>
    <w:p w14:paraId="05A9834F" w14:textId="77777777" w:rsidR="008746BC" w:rsidRDefault="008746BC" w:rsidP="00FE33AD">
      <w:pPr>
        <w:pStyle w:val="Normlnweb"/>
        <w:spacing w:line="276" w:lineRule="auto"/>
        <w:rPr>
          <w:rStyle w:val="None"/>
          <w:rFonts w:ascii="Calibri" w:hAnsi="Calibri"/>
          <w:b/>
          <w:bCs/>
        </w:rPr>
      </w:pPr>
    </w:p>
    <w:p w14:paraId="2F0BE02A" w14:textId="77777777" w:rsidR="008746BC" w:rsidRPr="005003A7" w:rsidRDefault="008746BC" w:rsidP="008746BC">
      <w:pPr>
        <w:pStyle w:val="Normlnweb"/>
        <w:spacing w:before="240" w:after="2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Vláda je směrem k zemědělcům a potravinářům nesmyslně pasivní, což poškozuje všechny spotřebitele</w:t>
      </w:r>
    </w:p>
    <w:p w14:paraId="42B17B62" w14:textId="5755E0DD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Tisková zpráva 10. 3. 2022 – Agrární komora České republiky, Zemědělský svaz ČR a Potravinářská komora </w:t>
      </w:r>
      <w:r>
        <w:rPr>
          <w:rFonts w:ascii="Calibri" w:hAnsi="Calibri" w:cs="Calibri"/>
          <w:b/>
          <w:bCs/>
        </w:rPr>
        <w:t>cítí</w:t>
      </w:r>
      <w:r>
        <w:rPr>
          <w:rFonts w:ascii="Calibri" w:hAnsi="Calibri" w:cs="Calibri"/>
          <w:b/>
          <w:bCs/>
        </w:rPr>
        <w:t xml:space="preserve"> znepokojen</w:t>
      </w:r>
      <w:r>
        <w:rPr>
          <w:rFonts w:ascii="Calibri" w:hAnsi="Calibri" w:cs="Calibri"/>
          <w:b/>
          <w:bCs/>
        </w:rPr>
        <w:t>í se</w:t>
      </w:r>
      <w:r>
        <w:rPr>
          <w:rFonts w:ascii="Calibri" w:hAnsi="Calibri" w:cs="Calibri"/>
          <w:b/>
          <w:bCs/>
        </w:rPr>
        <w:t xml:space="preserve"> současnou kritickou situací v zemědělské prvovýrobě a liknavou až kontraproduktivní reakcí vlády České republiky, což může mít dopady nejen na přežití zemědělců a zpracovatelů, ale také na faktickou a cenovou dostupnost potravin pro obyvatele.</w:t>
      </w:r>
    </w:p>
    <w:p w14:paraId="2DD7348C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b/>
          <w:bCs/>
        </w:rPr>
      </w:pPr>
    </w:p>
    <w:p w14:paraId="34079F73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Současnou situaci prezident AK ČR Jan Doležal shrnuje následovně: </w:t>
      </w:r>
      <w:r>
        <w:rPr>
          <w:rFonts w:ascii="Calibri" w:hAnsi="Calibri" w:cs="Calibri"/>
          <w:i/>
          <w:iCs/>
        </w:rPr>
        <w:t xml:space="preserve">„Zemědělská prvovýroba čelí extrémně složité situaci. V krizi se nenachází pouze dlouhodobě nerentabilní živočišná výroba, ale velký problém může čekat také výrobu rostlinnou. Dramaticky a v řádech vyšších desítek až stovek procent, roste cena zemědělských vstupů, jako jsou energie, pohonné hmoty, krmiva či minerální hnojiva. S ohledem na další eskalaci konfliktu na Ukrajině může bez rychlé reakce vlády dojít až k faktické nedostupnosti těchto základních prostředků.“ </w:t>
      </w:r>
      <w:r>
        <w:rPr>
          <w:rFonts w:ascii="Calibri" w:hAnsi="Calibri" w:cs="Calibri"/>
          <w:iCs/>
        </w:rPr>
        <w:t>K tomuto stavu navíc dochází v době, kdy s ohledem na bezpečnostní situaci z evropského a světového trhu komoditních trhů s pšenicí, kukuřicí, slunečnicí či sóji pro marketingový rok 2022/2023 vypadla Ukrajina, která je jeden z největších evropských i světových producentů.</w:t>
      </w:r>
    </w:p>
    <w:p w14:paraId="237CC849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051C5344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Celá Evropa se momentálně potýká s obrovským nárůstem poptávky po tenčících se skladových zásobách. I když je Česká republika, co se týče obilovin soběstačná, na otevřeném evropském trhu nemusí dosavadní soběstačnost v obilovinách v současné nepřehledné situaci nic znamenat. Cena se tvoří na světových trzích a určuje ji globální poptávka a nabídka. To platí i o řepce a dalších rostlinných komoditách. Jejich ceny však budou dále zvyšovat vysoké ceny pohonných hmot, energií a hnojiv. Problémem může být i začínající sucho na začátku vegetačního období u nás i v EU.   </w:t>
      </w:r>
    </w:p>
    <w:p w14:paraId="2AB31AC4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34169A7C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Ohlášené ukončení přimíchávání biosložky do motorové nafty nelze v kontextu výše uvedeného chápat jinak než jako pouhý politický marketing. „</w:t>
      </w:r>
      <w:r>
        <w:rPr>
          <w:rFonts w:ascii="Calibri" w:hAnsi="Calibri" w:cs="Calibri"/>
          <w:i/>
          <w:iCs/>
          <w:lang w:bidi="en-US"/>
        </w:rPr>
        <w:t>Zrušení přimíchávání biosložky do paliv je špatný krok, který se v cenách paliv nijak neprojeví. A zřejmě se neprojeví ani v osevních postupech zemědělců. Jednak se naprostá většina řepky využívá na výrobu potravin, jednak je už dávno v zemi. Pokud se vypěstovaná řepka nezpracuje u nás na biosložku, velice snadno se vyveze na zahraniční trhy, kde je po ní velká poptávka. Nad poznámkou k vyššímu pěstování obilí je nutné se pousmát. Již nyní obiloviny tvoří kolem 60 % osevních postupů. Pokud by měly nahradit řepku použitou na výrobu FAME, narostl by tento podíl o dalších šest procent. Je zvláštní, že vláda chce pomoci řešit vysoké ceny paliv v důsledky prudkého růstu cen ropy a defacto zvyšuje závislost na tomto zdroji energie a zvyšuje závislost na ruské ropě, </w:t>
      </w:r>
      <w:r>
        <w:rPr>
          <w:rFonts w:ascii="Calibri" w:hAnsi="Calibri" w:cs="Calibri"/>
          <w:i/>
          <w:iCs/>
        </w:rPr>
        <w:t xml:space="preserve">“ </w:t>
      </w:r>
      <w:r>
        <w:rPr>
          <w:rFonts w:ascii="Calibri" w:hAnsi="Calibri" w:cs="Calibri"/>
        </w:rPr>
        <w:t>upřesňuje Martin Pýcha, předseda Zemědělského svazu</w:t>
      </w:r>
      <w:r>
        <w:rPr>
          <w:rFonts w:ascii="Calibri" w:hAnsi="Calibri" w:cs="Calibri"/>
          <w:i/>
          <w:iCs/>
        </w:rPr>
        <w:t xml:space="preserve">. </w:t>
      </w:r>
    </w:p>
    <w:p w14:paraId="6231533F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/>
          <w:iCs/>
        </w:rPr>
      </w:pPr>
    </w:p>
    <w:p w14:paraId="7F408FF6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Pokud vláda skutečně usiluje o zvýšení potravinové bezpečnosti České republiky, mělo by dojít k okamžité revizi či anulaci </w:t>
      </w:r>
      <w:proofErr w:type="gramStart"/>
      <w:r>
        <w:rPr>
          <w:rFonts w:ascii="Calibri" w:hAnsi="Calibri" w:cs="Calibri"/>
          <w:iCs/>
        </w:rPr>
        <w:t>Zelené</w:t>
      </w:r>
      <w:proofErr w:type="gramEnd"/>
      <w:r>
        <w:rPr>
          <w:rFonts w:ascii="Calibri" w:hAnsi="Calibri" w:cs="Calibri"/>
          <w:iCs/>
        </w:rPr>
        <w:t xml:space="preserve"> dohody pro Evropu a k oddálení implementace reformy Společné zemědělské politiky. Obě politiky totiž směřují k omezení zemědělské produkce a </w:t>
      </w:r>
    </w:p>
    <w:p w14:paraId="24C7A004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Cs/>
        </w:rPr>
      </w:pPr>
    </w:p>
    <w:p w14:paraId="0CBEDA64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  <w:iCs/>
        </w:rPr>
      </w:pPr>
    </w:p>
    <w:p w14:paraId="19538DAD" w14:textId="19527E2A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 xml:space="preserve">dalšímu snížení faktické i cenové dostupnosti potravin pro obyvatele. Na což zemědělské profesní organizace již opakovaně upozornily. </w:t>
      </w:r>
      <w:r>
        <w:rPr>
          <w:rFonts w:ascii="Calibri" w:hAnsi="Calibri" w:cs="Calibri"/>
          <w:iCs/>
          <w:lang w:bidi="en-US"/>
        </w:rPr>
        <w:t>Dlouhodobě by se měla zaměřit na snižování závislosti na dovozech strategických surovin, takže vyšší podpora produkce potravin, vyšší podpora obnovitelných zdrojů, včetně těch ze zemědělství.</w:t>
      </w:r>
    </w:p>
    <w:p w14:paraId="356EEE01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4FB47DDF" w14:textId="7AFE8BC0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Prezidentka Potravinářské komory Dana Večeřová v této věci říká: </w:t>
      </w:r>
      <w:r w:rsidRPr="00340960">
        <w:rPr>
          <w:rFonts w:ascii="Calibri" w:hAnsi="Calibri" w:cs="Calibri"/>
          <w:i/>
        </w:rPr>
        <w:t>„</w:t>
      </w:r>
      <w:r>
        <w:rPr>
          <w:rFonts w:ascii="Calibri" w:hAnsi="Calibri" w:cs="Calibri"/>
          <w:i/>
        </w:rPr>
        <w:t xml:space="preserve">Navrhovaná opatření příliš potravinářům a zpracovatelům nepomohou. Z našeho pohledu by potravinářskému sektoru výrazně pomohlo </w:t>
      </w:r>
      <w:proofErr w:type="spellStart"/>
      <w:r>
        <w:rPr>
          <w:rFonts w:ascii="Calibri" w:hAnsi="Calibri" w:cs="Calibri"/>
          <w:i/>
        </w:rPr>
        <w:t>zastropování</w:t>
      </w:r>
      <w:proofErr w:type="spellEnd"/>
      <w:r>
        <w:rPr>
          <w:rFonts w:ascii="Calibri" w:hAnsi="Calibri" w:cs="Calibri"/>
          <w:i/>
        </w:rPr>
        <w:t xml:space="preserve"> cen plynu a energií, odpuštění zelených bonusů, tedy plateb na obnovitelné zdroje energie a v neposlední řadě také snížení spotřební daně na pohonné hmoty. Vzhledem k tomu, že náklady na potravinářské výrobky se oproti loňskému roku zvedly až o </w:t>
      </w:r>
      <w:r>
        <w:rPr>
          <w:rFonts w:ascii="Calibri" w:hAnsi="Calibri" w:cs="Calibri"/>
          <w:i/>
        </w:rPr>
        <w:br/>
      </w:r>
      <w:r>
        <w:rPr>
          <w:rFonts w:ascii="Calibri" w:hAnsi="Calibri" w:cs="Calibri"/>
          <w:i/>
        </w:rPr>
        <w:t>60 %. Tyto extrémně zvýšené náklady ale nelze promítnout do koncových cen pro spotřebitele, protože by to znamenalo enormní zdražení potravin. Proto je potřeba rychle přijmout opatření k zastavení nárůstu cen plynu, elektřiny i PHM, protože pro mnohé firmy je již tato situace neudržitelná a obávají se ukončení výroby.</w:t>
      </w:r>
      <w:r w:rsidRPr="00340960">
        <w:rPr>
          <w:rFonts w:ascii="Calibri" w:hAnsi="Calibri" w:cs="Calibri"/>
          <w:i/>
        </w:rPr>
        <w:t>“</w:t>
      </w:r>
    </w:p>
    <w:p w14:paraId="7BAD7320" w14:textId="5A4DB1D2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48269FDD" w14:textId="77777777" w:rsidR="008746BC" w:rsidRDefault="008746BC" w:rsidP="008746BC">
      <w:pPr>
        <w:pStyle w:val="Normlnweb"/>
        <w:spacing w:before="0" w:after="0"/>
        <w:jc w:val="both"/>
        <w:rPr>
          <w:rFonts w:ascii="Calibri" w:hAnsi="Calibri" w:cs="Calibri"/>
        </w:rPr>
      </w:pPr>
    </w:p>
    <w:p w14:paraId="7F9A46E4" w14:textId="563A7082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  <w:b/>
          <w:bCs/>
        </w:rPr>
      </w:pPr>
      <w:r w:rsidRPr="00B41E52">
        <w:rPr>
          <w:rStyle w:val="None"/>
          <w:rFonts w:ascii="Calibri" w:hAnsi="Calibri"/>
          <w:b/>
          <w:bCs/>
        </w:rPr>
        <w:t>Kontakt</w:t>
      </w:r>
      <w:r w:rsidR="00ED35E6">
        <w:rPr>
          <w:rStyle w:val="None"/>
          <w:rFonts w:ascii="Calibri" w:hAnsi="Calibri"/>
          <w:b/>
          <w:bCs/>
        </w:rPr>
        <w:t>y</w:t>
      </w:r>
      <w:r w:rsidRPr="00B41E52">
        <w:rPr>
          <w:rStyle w:val="None"/>
          <w:rFonts w:ascii="Calibri" w:hAnsi="Calibri"/>
          <w:b/>
          <w:bCs/>
        </w:rPr>
        <w:t xml:space="preserve"> pro média:</w:t>
      </w:r>
    </w:p>
    <w:p w14:paraId="5C9E82B3" w14:textId="77777777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B41E52">
        <w:rPr>
          <w:rStyle w:val="None"/>
          <w:rFonts w:ascii="Calibri" w:hAnsi="Calibri"/>
        </w:rPr>
        <w:t>Agrární komora ČR</w:t>
      </w:r>
    </w:p>
    <w:p w14:paraId="1C59389C" w14:textId="6FBFD2A6" w:rsidR="00FE33AD" w:rsidRPr="00B41E52" w:rsidRDefault="00FF3B0F" w:rsidP="00FE33AD">
      <w:pPr>
        <w:pStyle w:val="Normlnweb"/>
        <w:spacing w:line="276" w:lineRule="auto"/>
        <w:rPr>
          <w:rStyle w:val="None"/>
          <w:rFonts w:ascii="Calibri" w:hAnsi="Calibri"/>
        </w:rPr>
      </w:pPr>
      <w:hyperlink r:id="rId8" w:history="1">
        <w:r w:rsidR="00FE33AD" w:rsidRPr="00B41E52">
          <w:rPr>
            <w:rStyle w:val="Hypertextovodkaz"/>
            <w:rFonts w:ascii="Calibri" w:hAnsi="Calibri"/>
          </w:rPr>
          <w:t>tiskove@akcr.cz</w:t>
        </w:r>
      </w:hyperlink>
      <w:r w:rsidR="00FE33AD" w:rsidRPr="00B41E52">
        <w:rPr>
          <w:rStyle w:val="None"/>
          <w:rFonts w:ascii="Calibri" w:hAnsi="Calibri"/>
        </w:rPr>
        <w:t xml:space="preserve">, </w:t>
      </w:r>
      <w:hyperlink r:id="rId9" w:history="1">
        <w:r w:rsidR="008746BC" w:rsidRPr="00754920">
          <w:rPr>
            <w:rStyle w:val="Hypertextovodkaz"/>
          </w:rPr>
          <w:t>sekretariat@akcr.cz</w:t>
        </w:r>
      </w:hyperlink>
      <w:r w:rsidR="008746BC">
        <w:t xml:space="preserve"> </w:t>
      </w:r>
    </w:p>
    <w:p w14:paraId="2821810F" w14:textId="2FBFD6FA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B41E52">
        <w:rPr>
          <w:rStyle w:val="None"/>
          <w:rFonts w:ascii="Calibri" w:hAnsi="Calibri"/>
        </w:rPr>
        <w:t xml:space="preserve">tel. </w:t>
      </w:r>
      <w:r w:rsidR="008746BC" w:rsidRPr="004B4BFE">
        <w:rPr>
          <w:rFonts w:ascii="Calibri" w:hAnsi="Calibri" w:cs="Calibri"/>
        </w:rPr>
        <w:t>731 652</w:t>
      </w:r>
      <w:r w:rsidR="008746BC">
        <w:rPr>
          <w:rFonts w:ascii="Calibri" w:hAnsi="Calibri" w:cs="Calibri"/>
        </w:rPr>
        <w:t> </w:t>
      </w:r>
      <w:r w:rsidR="008746BC" w:rsidRPr="004B4BFE">
        <w:rPr>
          <w:rFonts w:ascii="Calibri" w:hAnsi="Calibri" w:cs="Calibri"/>
        </w:rPr>
        <w:t>466</w:t>
      </w:r>
      <w:r w:rsidR="008746BC">
        <w:rPr>
          <w:rFonts w:ascii="Calibri" w:hAnsi="Calibri" w:cs="Calibri"/>
        </w:rPr>
        <w:t xml:space="preserve"> </w:t>
      </w:r>
    </w:p>
    <w:p w14:paraId="545B2880" w14:textId="2D886C05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</w:p>
    <w:p w14:paraId="65A4D966" w14:textId="36ACB3A3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B41E52">
        <w:rPr>
          <w:rStyle w:val="None"/>
          <w:rFonts w:ascii="Calibri" w:eastAsia="Calibri" w:hAnsi="Calibri" w:cs="Calibri"/>
        </w:rPr>
        <w:t xml:space="preserve">Zemědělský svaz </w:t>
      </w:r>
      <w:r w:rsidR="00394179">
        <w:rPr>
          <w:rStyle w:val="None"/>
          <w:rFonts w:ascii="Calibri" w:eastAsia="Calibri" w:hAnsi="Calibri" w:cs="Calibri"/>
        </w:rPr>
        <w:t>ČR</w:t>
      </w:r>
    </w:p>
    <w:p w14:paraId="4F42D2A0" w14:textId="2B68D874" w:rsidR="00FE33AD" w:rsidRPr="00B41E52" w:rsidRDefault="00FE33AD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B41E52">
        <w:rPr>
          <w:rStyle w:val="None"/>
          <w:rFonts w:ascii="Calibri" w:eastAsia="Calibri" w:hAnsi="Calibri" w:cs="Calibri"/>
        </w:rPr>
        <w:t xml:space="preserve">tiskový mluvčí Vladimír Pícha </w:t>
      </w:r>
    </w:p>
    <w:p w14:paraId="7044AEE2" w14:textId="4EF87FFD" w:rsidR="00FE33AD" w:rsidRPr="00B41E52" w:rsidRDefault="00FF3B0F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hyperlink r:id="rId10" w:history="1">
        <w:r w:rsidR="00F50C67" w:rsidRPr="00B41E52">
          <w:rPr>
            <w:rStyle w:val="Hypertextovodkaz"/>
            <w:rFonts w:ascii="Calibri" w:eastAsia="Calibri" w:hAnsi="Calibri" w:cs="Calibri"/>
          </w:rPr>
          <w:t>picha@zscr.cz</w:t>
        </w:r>
      </w:hyperlink>
    </w:p>
    <w:p w14:paraId="711583BF" w14:textId="5EB83678" w:rsidR="00F50C67" w:rsidRDefault="00F50C67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B41E52">
        <w:rPr>
          <w:rStyle w:val="None"/>
          <w:rFonts w:ascii="Calibri" w:eastAsia="Calibri" w:hAnsi="Calibri" w:cs="Calibri"/>
        </w:rPr>
        <w:t>tel. 603 532</w:t>
      </w:r>
      <w:r w:rsidR="008746BC">
        <w:rPr>
          <w:rStyle w:val="None"/>
          <w:rFonts w:ascii="Calibri" w:eastAsia="Calibri" w:hAnsi="Calibri" w:cs="Calibri"/>
        </w:rPr>
        <w:t> </w:t>
      </w:r>
      <w:r w:rsidRPr="00B41E52">
        <w:rPr>
          <w:rStyle w:val="None"/>
          <w:rFonts w:ascii="Calibri" w:eastAsia="Calibri" w:hAnsi="Calibri" w:cs="Calibri"/>
        </w:rPr>
        <w:t>136</w:t>
      </w:r>
    </w:p>
    <w:p w14:paraId="060A2350" w14:textId="5C0E7B4D" w:rsidR="008746BC" w:rsidRDefault="008746BC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</w:p>
    <w:p w14:paraId="329D0D6B" w14:textId="0FD4B76D" w:rsidR="008746BC" w:rsidRDefault="008746BC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Potravinářská komora ČR </w:t>
      </w:r>
    </w:p>
    <w:p w14:paraId="14A47777" w14:textId="440DDC8D" w:rsidR="008746BC" w:rsidRDefault="008746BC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Tisková mluvčí </w:t>
      </w:r>
      <w:r w:rsidRPr="008746BC">
        <w:rPr>
          <w:rStyle w:val="None"/>
          <w:rFonts w:ascii="Calibri" w:eastAsia="Calibri" w:hAnsi="Calibri" w:cs="Calibri"/>
        </w:rPr>
        <w:t>Mgr. Helen</w:t>
      </w:r>
      <w:r>
        <w:rPr>
          <w:rStyle w:val="None"/>
          <w:rFonts w:ascii="Calibri" w:eastAsia="Calibri" w:hAnsi="Calibri" w:cs="Calibri"/>
        </w:rPr>
        <w:t>a</w:t>
      </w:r>
      <w:r w:rsidRPr="008746BC">
        <w:rPr>
          <w:rStyle w:val="None"/>
          <w:rFonts w:ascii="Calibri" w:eastAsia="Calibri" w:hAnsi="Calibri" w:cs="Calibri"/>
        </w:rPr>
        <w:t xml:space="preserve"> Kavanov</w:t>
      </w:r>
      <w:r>
        <w:rPr>
          <w:rStyle w:val="None"/>
          <w:rFonts w:ascii="Calibri" w:eastAsia="Calibri" w:hAnsi="Calibri" w:cs="Calibri"/>
        </w:rPr>
        <w:t>á</w:t>
      </w:r>
      <w:r w:rsidRPr="008746BC">
        <w:rPr>
          <w:rStyle w:val="None"/>
          <w:rFonts w:ascii="Calibri" w:eastAsia="Calibri" w:hAnsi="Calibri" w:cs="Calibri"/>
        </w:rPr>
        <w:t xml:space="preserve"> </w:t>
      </w:r>
    </w:p>
    <w:p w14:paraId="62D2F78B" w14:textId="526F8608" w:rsidR="008746BC" w:rsidRDefault="008746BC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 w:rsidRPr="008746BC">
        <w:rPr>
          <w:rStyle w:val="None"/>
          <w:rFonts w:ascii="Calibri" w:eastAsia="Calibri" w:hAnsi="Calibri" w:cs="Calibri"/>
        </w:rPr>
        <w:t>kavanova@foodnet.cz</w:t>
      </w:r>
    </w:p>
    <w:p w14:paraId="0D526F5C" w14:textId="10952B86" w:rsidR="008746BC" w:rsidRPr="00B41E52" w:rsidRDefault="008746BC" w:rsidP="00FE33AD">
      <w:pPr>
        <w:pStyle w:val="Normlnweb"/>
        <w:spacing w:line="276" w:lineRule="auto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t</w:t>
      </w:r>
      <w:r w:rsidRPr="008746BC">
        <w:rPr>
          <w:rStyle w:val="None"/>
          <w:rFonts w:ascii="Calibri" w:eastAsia="Calibri" w:hAnsi="Calibri" w:cs="Calibri"/>
        </w:rPr>
        <w:t xml:space="preserve">el.:  737 287 024 </w:t>
      </w:r>
    </w:p>
    <w:p w14:paraId="5BF1ED10" w14:textId="46C444DA" w:rsidR="00FE33AD" w:rsidRPr="00B41E52" w:rsidRDefault="00FE33AD" w:rsidP="00FE33AD">
      <w:pPr>
        <w:pStyle w:val="Normlnweb"/>
        <w:spacing w:line="276" w:lineRule="auto"/>
        <w:rPr>
          <w:rFonts w:ascii="Calibri" w:eastAsia="Calibri" w:hAnsi="Calibri" w:cs="Calibri"/>
        </w:rPr>
      </w:pPr>
    </w:p>
    <w:sectPr w:rsidR="00FE33AD" w:rsidRPr="00B41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7D2A" w14:textId="77777777" w:rsidR="00FF3B0F" w:rsidRDefault="00FF3B0F" w:rsidP="00A33255">
      <w:pPr>
        <w:spacing w:line="240" w:lineRule="auto"/>
      </w:pPr>
      <w:r>
        <w:separator/>
      </w:r>
    </w:p>
  </w:endnote>
  <w:endnote w:type="continuationSeparator" w:id="0">
    <w:p w14:paraId="747156A5" w14:textId="77777777" w:rsidR="00FF3B0F" w:rsidRDefault="00FF3B0F" w:rsidP="00A33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1102" w14:textId="77777777" w:rsidR="008746BC" w:rsidRDefault="008746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BDC0" w14:textId="77777777" w:rsidR="008746BC" w:rsidRDefault="008746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39E" w14:textId="77777777" w:rsidR="008746BC" w:rsidRDefault="00874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D43B" w14:textId="77777777" w:rsidR="00FF3B0F" w:rsidRDefault="00FF3B0F" w:rsidP="00A33255">
      <w:pPr>
        <w:spacing w:line="240" w:lineRule="auto"/>
      </w:pPr>
      <w:r>
        <w:separator/>
      </w:r>
    </w:p>
  </w:footnote>
  <w:footnote w:type="continuationSeparator" w:id="0">
    <w:p w14:paraId="006B8042" w14:textId="77777777" w:rsidR="00FF3B0F" w:rsidRDefault="00FF3B0F" w:rsidP="00A33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BACA" w14:textId="77777777" w:rsidR="008746BC" w:rsidRDefault="008746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4A65" w14:textId="39F3664B" w:rsidR="00A33255" w:rsidRDefault="00F50C67">
    <w:pPr>
      <w:pStyle w:val="Zhlav"/>
    </w:pPr>
    <w:r>
      <w:rPr>
        <w:noProof/>
      </w:rPr>
      <w:drawing>
        <wp:inline distT="0" distB="0" distL="0" distR="0" wp14:anchorId="6D3D2D58" wp14:editId="5F016E6C">
          <wp:extent cx="1910024" cy="5937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147" cy="60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746BC">
      <w:rPr>
        <w:noProof/>
      </w:rPr>
      <w:drawing>
        <wp:inline distT="0" distB="0" distL="0" distR="0" wp14:anchorId="49A816EC" wp14:editId="5DFBF4CE">
          <wp:extent cx="1581150" cy="533400"/>
          <wp:effectExtent l="0" t="0" r="0" b="0"/>
          <wp:docPr id="9" name="obrázek 9" descr="PKCR_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PKCR_P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A33255">
      <w:rPr>
        <w:noProof/>
      </w:rPr>
      <w:drawing>
        <wp:inline distT="0" distB="0" distL="0" distR="0" wp14:anchorId="348948F7" wp14:editId="61CFEC2C">
          <wp:extent cx="1784350" cy="637268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138" cy="63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774C" w14:textId="77777777" w:rsidR="008746BC" w:rsidRDefault="008746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147114"/>
    <w:rsid w:val="00155ECC"/>
    <w:rsid w:val="001A4887"/>
    <w:rsid w:val="00351516"/>
    <w:rsid w:val="00394179"/>
    <w:rsid w:val="004B0A02"/>
    <w:rsid w:val="004B46E0"/>
    <w:rsid w:val="00622B19"/>
    <w:rsid w:val="00633D06"/>
    <w:rsid w:val="006A6BF4"/>
    <w:rsid w:val="006D43E7"/>
    <w:rsid w:val="00723517"/>
    <w:rsid w:val="00833B29"/>
    <w:rsid w:val="008746BC"/>
    <w:rsid w:val="008E63CC"/>
    <w:rsid w:val="008E64C6"/>
    <w:rsid w:val="00912DA6"/>
    <w:rsid w:val="00945D8E"/>
    <w:rsid w:val="00A25F69"/>
    <w:rsid w:val="00A31873"/>
    <w:rsid w:val="00A33255"/>
    <w:rsid w:val="00AC6E60"/>
    <w:rsid w:val="00B41E52"/>
    <w:rsid w:val="00B61A53"/>
    <w:rsid w:val="00BE0E7E"/>
    <w:rsid w:val="00BF1834"/>
    <w:rsid w:val="00C22AA9"/>
    <w:rsid w:val="00C37069"/>
    <w:rsid w:val="00C47CAB"/>
    <w:rsid w:val="00C73C0E"/>
    <w:rsid w:val="00C9639B"/>
    <w:rsid w:val="00D53A2B"/>
    <w:rsid w:val="00E06C83"/>
    <w:rsid w:val="00E15A37"/>
    <w:rsid w:val="00E4160E"/>
    <w:rsid w:val="00E9477F"/>
    <w:rsid w:val="00ED35E6"/>
    <w:rsid w:val="00F50C67"/>
    <w:rsid w:val="00F87D48"/>
    <w:rsid w:val="00F930CA"/>
    <w:rsid w:val="00FE33AD"/>
    <w:rsid w:val="00FE7A5E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F50C6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74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akcr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icha@zs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akcr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jpg@01D76366.032D66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5CC3-B5D4-4312-9878-F9F4B8B4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3867</Characters>
  <Application>Microsoft Office Word</Application>
  <DocSecurity>0</DocSecurity>
  <Lines>49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Pánková - Agrární komora ČR</dc:creator>
  <cp:keywords/>
  <dc:description/>
  <cp:lastModifiedBy>Ing. Jan Doležal - Agrární komora ČR</cp:lastModifiedBy>
  <cp:revision>2</cp:revision>
  <dcterms:created xsi:type="dcterms:W3CDTF">2022-03-10T10:50:00Z</dcterms:created>
  <dcterms:modified xsi:type="dcterms:W3CDTF">2022-03-10T10:50:00Z</dcterms:modified>
</cp:coreProperties>
</file>